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b w:val="1"/>
          <w:bCs w:val="1"/>
          <w:i w:val="1"/>
          <w:iCs w:val="1"/>
          <w:u w:val="single"/>
        </w:rPr>
      </w:pPr>
      <w:bookmarkStart w:name="_Hlk221807239" w:id="0"/>
      <w:r>
        <w:rPr>
          <w:rFonts w:ascii="Times New Roman" w:hAnsi="Times New Roman" w:hint="default"/>
          <w:b w:val="1"/>
          <w:bCs w:val="1"/>
          <w:i w:val="1"/>
          <w:iCs w:val="1"/>
          <w:u w:val="single"/>
          <w:rtl w:val="0"/>
          <w:lang w:val="ru-RU"/>
        </w:rPr>
        <w:t>Россия</w:t>
      </w:r>
      <w:r>
        <w:rPr>
          <w:rFonts w:ascii="Times New Roman" w:hAnsi="Times New Roman"/>
          <w:b w:val="1"/>
          <w:bCs w:val="1"/>
          <w:i w:val="1"/>
          <w:iCs w:val="1"/>
          <w:u w:val="single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u w:val="single"/>
          <w:rtl w:val="0"/>
          <w:lang w:val="ru-RU"/>
        </w:rPr>
        <w:t>труд</w:t>
      </w:r>
      <w:r>
        <w:rPr>
          <w:rFonts w:ascii="Times New Roman" w:hAnsi="Times New Roman"/>
          <w:b w:val="1"/>
          <w:bCs w:val="1"/>
          <w:i w:val="1"/>
          <w:iCs w:val="1"/>
          <w:u w:val="single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u w:val="single"/>
          <w:rtl w:val="0"/>
          <w:lang w:val="ru-RU"/>
        </w:rPr>
        <w:t>народовластие</w:t>
      </w:r>
      <w:r>
        <w:rPr>
          <w:rFonts w:ascii="Times New Roman" w:hAnsi="Times New Roman"/>
          <w:b w:val="1"/>
          <w:bCs w:val="1"/>
          <w:i w:val="1"/>
          <w:iCs w:val="1"/>
          <w:u w:val="single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i w:val="1"/>
          <w:iCs w:val="1"/>
          <w:u w:val="single"/>
          <w:rtl w:val="0"/>
          <w:lang w:val="ru-RU"/>
        </w:rPr>
        <w:t>социализм</w:t>
      </w:r>
      <w:r>
        <w:rPr>
          <w:rFonts w:ascii="Times New Roman" w:hAnsi="Times New Roman"/>
          <w:b w:val="1"/>
          <w:bCs w:val="1"/>
          <w:i w:val="1"/>
          <w:iCs w:val="1"/>
          <w:u w:val="single"/>
          <w:rtl w:val="0"/>
          <w:lang w:val="ru-RU"/>
        </w:rPr>
        <w:t>!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rtl w:val="0"/>
          <w:lang w:val="ru-RU"/>
        </w:rPr>
        <w:t>КПРФ – ПЕРМСКОЕ КРАЕВОЕ ОТДЕЛЕНИЕ ПОЛИТИЧЕСКОЙ ПАРТИИ</w:t>
      </w:r>
    </w:p>
    <w:p>
      <w:pPr>
        <w:pStyle w:val="Normal.0"/>
        <w:spacing w:after="0"/>
        <w:jc w:val="center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КОММУНИСТИЧЕСКАЯ ПАРТИЯ РОССИЙСКОЙ ФЕДЕРАЦИИ</w:t>
      </w:r>
    </w:p>
    <w:p>
      <w:pPr>
        <w:pStyle w:val="Normal.0"/>
        <w:pBdr>
          <w:top w:val="nil"/>
          <w:left w:val="nil"/>
          <w:bottom w:val="single" w:color="000000" w:sz="12" w:space="0" w:shadow="0" w:frame="0"/>
          <w:right w:val="nil"/>
        </w:pBdr>
        <w:spacing w:after="0" w:line="240" w:lineRule="auto"/>
        <w:ind w:firstLine="567"/>
        <w:jc w:val="center"/>
        <w:rPr>
          <w:rFonts w:ascii="Times New Roman" w:cs="Times New Roman" w:hAnsi="Times New Roman" w:eastAsia="Times New Roman"/>
          <w:b w:val="1"/>
          <w:bCs w:val="1"/>
        </w:rPr>
      </w:pPr>
      <w:r>
        <w:rPr>
          <w:rFonts w:ascii="Times New Roman" w:hAnsi="Times New Roman" w:hint="default"/>
          <w:b w:val="1"/>
          <w:bCs w:val="1"/>
          <w:rtl w:val="0"/>
          <w:lang w:val="ru-RU"/>
        </w:rPr>
        <w:t>КРАЕВОЙ КОМИТЕТ</w:t>
      </w: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614000,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Пермь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ул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Луначарского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, 32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А офис 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201, </w:t>
      </w:r>
      <w:r>
        <w:rPr>
          <w:rFonts w:ascii="Times New Roman" w:hAnsi="Times New Roman" w:hint="default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тел</w:t>
      </w:r>
      <w:r>
        <w:rPr>
          <w:rFonts w:ascii="Times New Roman" w:hAnsi="Times New Roman"/>
          <w:outline w:val="0"/>
          <w:color w:val="000000"/>
          <w:sz w:val="20"/>
          <w:szCs w:val="2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 8 (342) 2-000-127</w:t>
      </w:r>
      <w:bookmarkEnd w:id="0"/>
    </w:p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i w:val="1"/>
          <w:i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Пермь</w:t>
        <w:tab/>
        <w:tab/>
        <w:tab/>
        <w:tab/>
        <w:tab/>
        <w:tab/>
        <w:t xml:space="preserve">             </w:t>
        <w:tab/>
        <w:t xml:space="preserve">                                                         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октября 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2026 </w:t>
      </w:r>
      <w:r>
        <w:rPr>
          <w:rFonts w:ascii="Times New Roman" w:hAnsi="Times New Roman" w:hint="default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</w:t>
      </w:r>
      <w:r>
        <w:rPr>
          <w:rFonts w:ascii="Times New Roman" w:hAnsi="Times New Roman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hd w:val="clear" w:color="auto" w:fill="ffffff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ПОСТАНОВЛЕНИЕ</w:t>
      </w:r>
    </w:p>
    <w:p>
      <w:pPr>
        <w:pStyle w:val="Normal.0"/>
        <w:shd w:val="clear" w:color="auto" w:fill="ffffff"/>
        <w:spacing w:after="0" w:line="240" w:lineRule="auto"/>
        <w:jc w:val="center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X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I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 xml:space="preserve"> </w:t>
      </w:r>
      <w:bookmarkStart w:name="_Hlk230861529" w:id="1"/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октябрьского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)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Совместного Пленума Комитета и Краевой контрольно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ревизионной Комиссии КПРФ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-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ПЕРМСКОГО КРАЕВОГО ОТДЕЛЕНИЯ политической партии КОММУНИСТИЧЕСКАЯ ПАРТИЯ РОССИЙСКОЙ ФЕДЕРАЦИИ</w:t>
      </w:r>
      <w:bookmarkEnd w:id="1"/>
    </w:p>
    <w:p>
      <w:pPr>
        <w:pStyle w:val="Normal.0"/>
        <w:shd w:val="clear" w:color="auto" w:fill="ffffff"/>
        <w:spacing w:after="0" w:line="240" w:lineRule="auto"/>
        <w:jc w:val="center"/>
        <w:rPr>
          <w:rFonts w:ascii="Times New Roman" w:cs="Times New Roman" w:hAnsi="Times New Roman" w:eastAsia="Times New Roman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240" w:lineRule="auto"/>
        <w:jc w:val="center"/>
        <w:rPr>
          <w:rFonts w:ascii="Times New Roman" w:cs="Times New Roman" w:hAnsi="Times New Roman" w:eastAsia="Times New Roman"/>
          <w:b w:val="1"/>
          <w:bCs w:val="1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«</w:t>
      </w:r>
      <w:r>
        <w:rPr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Об итогах избирательной кампании </w:t>
      </w:r>
      <w:r>
        <w:rPr>
          <w:rFonts w:ascii="Times New Roman" w:hAnsi="Times New Roman"/>
          <w:b w:val="1"/>
          <w:bCs w:val="1"/>
          <w:i w:val="1"/>
          <w:iCs w:val="1"/>
          <w:sz w:val="24"/>
          <w:szCs w:val="24"/>
          <w:rtl w:val="0"/>
          <w:lang w:val="ru-RU"/>
        </w:rPr>
        <w:t xml:space="preserve">2026 </w:t>
      </w:r>
      <w:r>
        <w:rPr>
          <w:rFonts w:ascii="Times New Roman" w:hAnsi="Times New Roman" w:hint="default"/>
          <w:b w:val="1"/>
          <w:bCs w:val="1"/>
          <w:i w:val="1"/>
          <w:iCs w:val="1"/>
          <w:sz w:val="24"/>
          <w:szCs w:val="24"/>
          <w:rtl w:val="0"/>
          <w:lang w:val="ru-RU"/>
        </w:rPr>
        <w:t>года»</w:t>
      </w:r>
    </w:p>
    <w:p>
      <w:pPr>
        <w:pStyle w:val="Normal.0"/>
        <w:keepLines w:val="1"/>
        <w:spacing w:after="80" w:line="276" w:lineRule="auto"/>
        <w:ind w:firstLine="425"/>
        <w:jc w:val="both"/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Заслушав и обсудив доклад об итогах избирательной кампании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2026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года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Пленум Пермского краевого комитета КПРФ отмечает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партия заняла второе место по партийным спискам на выборах трёх уровней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 официальным итогам КПРФ получила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15,52%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голосов и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мандатов по списку в Законодательном Собрании Пермского края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19,93%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мандата по списку в Пермской городской Думе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15,86%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 выборах в Государственную Думу в Пермском крае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keepLines w:val="1"/>
        <w:spacing w:after="80" w:line="276" w:lineRule="auto"/>
        <w:ind w:firstLine="425"/>
        <w:jc w:val="both"/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Пленум разделяет оценку Президиума ЦК КПРФ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партия подтвердила статус ведущей оппозиционной силы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 «Программа Победы» получила поддержку как альтернатива проводимому курсу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Суверенитет страны и общественное сплочение требуют социальной справедливости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развития производства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науки и образования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повышения благосостояния трудящихся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Борьба за честные выборы неотделима от борьбы за народовластие и социалистическое обновление России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keepLines w:val="1"/>
        <w:spacing w:after="80" w:line="276" w:lineRule="auto"/>
        <w:ind w:firstLine="425"/>
        <w:jc w:val="both"/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Краевое отделение провело масштабную агитационную кампанию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выпущено не менее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млн экземпляров печатной продукции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использованы возможности телевидения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радио и местной прессы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Материалы в интернете получили многомиллионные просмотры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выросла аудитория партийных ресурсов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Пленум благодарит избирателей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кандидатов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агитаторов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наблюдателей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членов комиссий и всех участников кампании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Доверие людей обязывает продолжать постоянную работу со сторонниками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keepLines w:val="1"/>
        <w:spacing w:after="80" w:line="276" w:lineRule="auto"/>
        <w:ind w:firstLine="425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Пленум считает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что недостаточно высокий официальный результат КПРФ во многом обусловлен фальсификациями и препятствиями контролю за голосованием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Основания для этой политической оценки содержатся в материалах наблюдения и анализе результатов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докладе по выборам в Законодательное Собрание приведена оценка статистически избыточных голосов за «Единую Россию»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около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115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тысяч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keepLines w:val="1"/>
        <w:spacing w:after="80" w:line="276" w:lineRule="auto"/>
        <w:ind w:firstLine="425"/>
        <w:jc w:val="both"/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Показательны расхождения на соседних участках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 УИК №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2941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 №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2943,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расположенных в одном здании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при почти одинаковой явке около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34,4%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доля ЕР составила соответственно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34,3%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69,4%,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а КПРФ —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19,6%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8,7%.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докладе выделены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38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пар участков с близкой явкой и разрывом результата ЕР не менее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процентных пунктов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они охватывают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57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УИК в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23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зданиях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Такие различия требуют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особого расследования и проверки видеозаписей с камер видеонаблюдения на участках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keepLines w:val="1"/>
        <w:spacing w:after="80" w:line="276" w:lineRule="auto"/>
        <w:ind w:firstLine="425"/>
        <w:jc w:val="both"/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Журнал жалоб содержит сообщения об ограничении прав наблюдателей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отказах в выдаче документов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нарушениях хранения бюллетеней и подсчёта голосов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УИК №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4418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сообщено о хранении сейф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пакетов в ящике с сорванной пломбой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УИК №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2905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— о расхождении числа выданных и обнаруженных в ящиках бюллетеней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УИК №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1403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— о недопуске наблюдателя к наблюдению за сортировкой бюллетеней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Каждое сообщение должно получить проверку и мотивированный ответ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Формальное утверждение итогов не снимает вопроса об ответственности за нарушения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Всего в ходе выборов в краевой штаб поступило более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100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жалоб от наблюдателей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кандидатов и избирателей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keepLines w:val="1"/>
        <w:spacing w:after="80" w:line="276" w:lineRule="auto"/>
        <w:ind w:firstLine="425"/>
        <w:jc w:val="both"/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Представителям КПРФ не был предоставлен доступ к видеонаблюдению на избирательных участках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Наблюдатели сообщали о ночных подменах сейф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пакетов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их сообщениям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воскресенье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20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сентября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 подсчёте голосов обнаруживались сейф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пакеты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которых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100%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голосов были поданы за «Единую Россию»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частности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 такой ситуации сообщалось на УИК №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3218.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Эти сведения требуют тщательной проверки с изучением видеозаписей и документов комиссий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keepLines w:val="1"/>
        <w:spacing w:after="80" w:line="276" w:lineRule="auto"/>
        <w:ind w:firstLine="425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Недостатки подбора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подготовки и координации наблюдателей ограничили возможности предотвращения нарушений и защиты голосов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оперативной сводке штаба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в третий день наблюдение подтверждено лишь на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872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из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1780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УИК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Устранение этих недостатков требует постоянной работы и личной ответственности руководителей отделений и штабов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after="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Пленум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ПОСТАНОВЛЯЕТ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2"/>
        </w:numPr>
        <w:bidi w:val="0"/>
        <w:spacing w:after="60" w:line="24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Не принимать официальные итоги выборов в Пермское крае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numPr>
          <w:ilvl w:val="0"/>
          <w:numId w:val="2"/>
        </w:numPr>
        <w:bidi w:val="0"/>
        <w:spacing w:after="60" w:line="24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Комитетам всех уровней провести массовые протесты против фальсификаций на выборах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 </w:t>
      </w:r>
    </w:p>
    <w:p>
      <w:pPr>
        <w:pStyle w:val="Normal.0"/>
        <w:numPr>
          <w:ilvl w:val="0"/>
          <w:numId w:val="2"/>
        </w:numPr>
        <w:bidi w:val="0"/>
        <w:spacing w:after="60" w:line="24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Поддержать основные положения заявления Президиума ЦК КПРФ по итогам выборов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Выразить солидарность в требовании проверки сообщений о фальсификациях и ответственности виновных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Местным отделениям обсудить заявление и настоящее постановление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after="60" w:line="24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Поддержать требования КПРФ о принятии Избирательного кодекса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отказе от трёхдневного голосования и прекращении внедрения ДЭГ без независимого общественного контроля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Депутатам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коммунистам отстаивать эти требования в представительных органах власти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after="60" w:line="24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Комитетам местных отделений до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ноября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2026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года провести разбор итогов кампании по территориям и участкам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оценить работу штабов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агитаторов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наблюдателей и членов комиссий от КПРФ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Представить в крайком планы устранения недостатков с ответственными и сроками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Первым секретарям лично контролировать их исполнение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after="60" w:line="24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Местным отделениям усилить постоянную работу со сторонниками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поддерживать личную связь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учитывать обращения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вовлекать в партийные мероприятия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агитацию и защиту голосов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Укреплять первичные отделения и кадровый резерв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продолжать разъяснение «Программы Победы»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развивать работу в интернете и социальных сетях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after="60" w:line="24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Местным отделениям выдвигать в состав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избирательных комиссий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и их резерв надёжных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подготовленных членов партии и сторонников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способных принципиально отстаивать права избирателей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Проверить работу действующих представителей КПРФ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;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 не выполняющим обязанности подготовить предложения о замене в установленном порядке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Исключить формальный подход к подбору кадров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after="60" w:line="24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Заблаговременно формировать корпус наблюдателей из коммунистов и сторонников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закреплять их за участками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создавать резерв и назначать координаторов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Обеспечивать непрерывное наблюдение во все дни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включая надомное голосование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работу с сейф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пакетами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подсчёт и получение копий протоколов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Организовать связь со штабом и учёт фактического выхода на участки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numPr>
          <w:ilvl w:val="0"/>
          <w:numId w:val="2"/>
        </w:numPr>
        <w:bidi w:val="0"/>
        <w:spacing w:after="60" w:line="240" w:lineRule="auto"/>
        <w:ind w:right="0"/>
        <w:jc w:val="both"/>
        <w:rPr>
          <w:sz w:val="24"/>
          <w:szCs w:val="24"/>
          <w:rtl w:val="0"/>
          <w:lang w:val="ru-RU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Бюро крайкома и местным отделениям организовать постоянную систему обязательного обучения наблюдателей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членов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избирательных комиссий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и координаторов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Утвердить программу и график занятий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: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разбор нарушений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2026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года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практические тренировки по фиксации нарушений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подаче жалоб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контролю подсчёта и проверке протоколов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Обеспечить проверку знаний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повторную подготовку перед выборами и оперативную юридическую помощь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Развивать систему «Красный контроль»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keepNext w:val="1"/>
        <w:keepLines w:val="1"/>
        <w:spacing w:after="80" w:line="276" w:lineRule="auto"/>
        <w:ind w:firstLine="425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10.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Контроль за исполнением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постановления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возложить на Бюро Пермского краевого комитета КПРФ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keepNext w:val="1"/>
        <w:keepLines w:val="1"/>
        <w:spacing w:after="80" w:line="276" w:lineRule="auto"/>
        <w:ind w:firstLine="425"/>
        <w:jc w:val="both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keepNext w:val="1"/>
        <w:keepLines w:val="1"/>
        <w:spacing w:after="80" w:line="276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rtl w:val="0"/>
          <w:lang w:val="ru-RU"/>
        </w:rPr>
        <w:t xml:space="preserve">Первый секретарь Комитета </w:t>
      </w:r>
    </w:p>
    <w:p>
      <w:pPr>
        <w:pStyle w:val="Normal.0"/>
        <w:spacing w:after="0" w:line="240" w:lineRule="auto"/>
      </w:pPr>
      <w:r>
        <w:rPr>
          <w:rFonts w:ascii="Times New Roman" w:hAnsi="Times New Roman" w:hint="default"/>
          <w:rtl w:val="0"/>
          <w:lang w:val="ru-RU"/>
        </w:rPr>
        <w:t xml:space="preserve">ПЕРМСКОГО КРАЕВОГО ОТДЕЛЕНИЯ 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 w:hint="default"/>
          <w:rtl w:val="0"/>
          <w:lang w:val="ru-RU"/>
        </w:rPr>
        <w:t xml:space="preserve">политической партии </w:t>
        <w:br w:type="textWrapping"/>
        <w:t xml:space="preserve">«КОММУНИСТИЧЕСКАЯ ПАРТИЯ  </w:t>
      </w:r>
      <w:r>
        <w:rPr>
          <w:rFonts w:ascii="Times New Roman" w:cs="Times New Roman" w:hAnsi="Times New Roman" w:eastAsia="Times New Roman"/>
        </w:rPr>
        <w:br w:type="textWrapping"/>
      </w:r>
      <w:r>
        <w:rPr>
          <w:rFonts w:ascii="Times New Roman" w:hAnsi="Times New Roman" w:hint="default"/>
          <w:rtl w:val="0"/>
          <w:lang w:val="ru-RU"/>
        </w:rPr>
        <w:t xml:space="preserve">РОССИЙСКОЙ ФЕДЕРАЦИИ»                   </w:t>
      </w:r>
      <w:r>
        <w:rPr>
          <w:rFonts w:ascii="Times New Roman" w:hAnsi="Times New Roman"/>
          <w:rtl w:val="0"/>
          <w:lang w:val="ru-RU"/>
        </w:rPr>
        <w:t xml:space="preserve">                                                                      </w:t>
      </w:r>
      <w:r>
        <w:rPr>
          <w:rFonts w:ascii="Times New Roman" w:hAnsi="Times New Roman" w:hint="default"/>
          <w:rtl w:val="0"/>
          <w:lang w:val="ru-RU"/>
        </w:rPr>
        <w:t xml:space="preserve"> К</w:t>
      </w:r>
      <w:r>
        <w:rPr>
          <w:rFonts w:ascii="Times New Roman" w:hAnsi="Times New Roman"/>
          <w:rtl w:val="0"/>
          <w:lang w:val="ru-RU"/>
        </w:rPr>
        <w:t>.</w:t>
      </w:r>
      <w:r>
        <w:rPr>
          <w:rFonts w:ascii="Times New Roman" w:hAnsi="Times New Roman" w:hint="default"/>
          <w:rtl w:val="0"/>
          <w:lang w:val="ru-RU"/>
        </w:rPr>
        <w:t>А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Айтакова</w:t>
      </w:r>
    </w:p>
    <w:sectPr>
      <w:headerReference w:type="default" r:id="rId4"/>
      <w:footerReference w:type="default" r:id="rId5"/>
      <w:pgSz w:w="11900" w:h="16840" w:orient="portrait"/>
      <w:pgMar w:top="568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tabs>
          <w:tab w:val="num" w:pos="657"/>
        </w:tabs>
        <w:ind w:left="232" w:firstLine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657"/>
          <w:tab w:val="num" w:pos="1457"/>
        </w:tabs>
        <w:ind w:left="1032" w:firstLine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657"/>
          <w:tab w:val="num" w:pos="2257"/>
        </w:tabs>
        <w:ind w:left="1832" w:firstLine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657"/>
          <w:tab w:val="num" w:pos="3057"/>
        </w:tabs>
        <w:ind w:left="2632" w:firstLine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657"/>
          <w:tab w:val="num" w:pos="3857"/>
        </w:tabs>
        <w:ind w:left="3432" w:firstLine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657"/>
          <w:tab w:val="num" w:pos="4657"/>
        </w:tabs>
        <w:ind w:left="4232" w:firstLine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657"/>
          <w:tab w:val="num" w:pos="5457"/>
        </w:tabs>
        <w:ind w:left="5032" w:firstLine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657"/>
          <w:tab w:val="num" w:pos="6257"/>
        </w:tabs>
        <w:ind w:left="5832" w:firstLine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657"/>
          <w:tab w:val="num" w:pos="7057"/>
        </w:tabs>
        <w:ind w:left="6632" w:firstLine="1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С числами">
    <w:name w:val="С числами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